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ind w:firstLine="2641" w:firstLineChars="600"/>
        <w:jc w:val="both"/>
        <w:rPr>
          <w:rFonts w:hint="eastAsia" w:eastAsia="方正小标宋_GBK"/>
          <w:color w:val="auto"/>
          <w:lang w:eastAsia="zh-CN"/>
        </w:rPr>
      </w:pPr>
      <w:bookmarkStart w:id="0" w:name="_Toc13492507"/>
      <w:r>
        <w:rPr>
          <w:rFonts w:hint="eastAsia" w:ascii="方正小标宋_GBK" w:hAnsi="方正小标宋_GBK" w:eastAsia="方正小标宋_GBK" w:cs="方正小标宋_GBK"/>
          <w:color w:val="auto"/>
          <w:lang w:eastAsia="zh-CN"/>
        </w:rPr>
        <w:t>连州</w:t>
      </w:r>
      <w:r>
        <w:rPr>
          <w:rFonts w:hint="eastAsia" w:ascii="方正小标宋_GBK" w:hAnsi="方正小标宋_GBK" w:eastAsia="方正小标宋_GBK" w:cs="方正小标宋_GBK"/>
          <w:color w:val="auto"/>
        </w:rPr>
        <w:t>市</w:t>
      </w:r>
      <w:r>
        <w:rPr>
          <w:rFonts w:hint="eastAsia" w:ascii="方正小标宋_GBK" w:hAnsi="方正小标宋_GBK" w:eastAsia="方正小标宋_GBK" w:cs="方正小标宋_GBK"/>
          <w:color w:val="auto"/>
          <w:lang w:eastAsia="zh-CN"/>
        </w:rPr>
        <w:t>交</w:t>
      </w:r>
      <w:bookmarkStart w:id="1" w:name="_GoBack"/>
      <w:bookmarkEnd w:id="1"/>
      <w:r>
        <w:rPr>
          <w:rFonts w:hint="eastAsia" w:ascii="方正小标宋_GBK" w:hAnsi="方正小标宋_GBK" w:eastAsia="方正小标宋_GBK" w:cs="方正小标宋_GBK"/>
          <w:color w:val="auto"/>
          <w:lang w:eastAsia="zh-CN"/>
        </w:rPr>
        <w:t>通运输</w:t>
      </w:r>
      <w:r>
        <w:rPr>
          <w:rFonts w:hint="eastAsia" w:ascii="方正小标宋_GBK" w:hAnsi="方正小标宋_GBK" w:eastAsia="方正小标宋_GBK" w:cs="方正小标宋_GBK"/>
          <w:color w:val="auto"/>
        </w:rPr>
        <w:t>局随机抽查事项清单</w:t>
      </w:r>
      <w:bookmarkEnd w:id="0"/>
      <w:r>
        <w:rPr>
          <w:rFonts w:hint="eastAsia" w:ascii="方正小标宋_GBK" w:hAnsi="方正小标宋_GBK" w:eastAsia="方正小标宋_GBK" w:cs="方正小标宋_GBK"/>
          <w:color w:val="auto"/>
          <w:lang w:eastAsia="zh-CN"/>
        </w:rPr>
        <w:t>（本部门）</w:t>
      </w:r>
    </w:p>
    <w:tbl>
      <w:tblPr>
        <w:tblStyle w:val="9"/>
        <w:tblpPr w:leftFromText="180" w:rightFromText="180" w:vertAnchor="text" w:horzAnchor="page" w:tblpX="1333" w:tblpY="1011"/>
        <w:tblOverlap w:val="never"/>
        <w:tblW w:w="14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64"/>
        <w:gridCol w:w="1243"/>
        <w:gridCol w:w="2483"/>
        <w:gridCol w:w="1230"/>
        <w:gridCol w:w="870"/>
        <w:gridCol w:w="1335"/>
        <w:gridCol w:w="1200"/>
        <w:gridCol w:w="5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5" w:hRule="atLeast"/>
        </w:trPr>
        <w:tc>
          <w:tcPr>
            <w:tcW w:w="664"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序号</w:t>
            </w:r>
          </w:p>
        </w:tc>
        <w:tc>
          <w:tcPr>
            <w:tcW w:w="3726"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抽查项目</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检查对象</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事项类别</w:t>
            </w:r>
          </w:p>
        </w:tc>
        <w:tc>
          <w:tcPr>
            <w:tcW w:w="1335"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检查方式</w:t>
            </w:r>
          </w:p>
        </w:tc>
        <w:tc>
          <w:tcPr>
            <w:tcW w:w="1200"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检查主体</w:t>
            </w:r>
          </w:p>
        </w:tc>
        <w:tc>
          <w:tcPr>
            <w:tcW w:w="5400" w:type="dxa"/>
            <w:vMerge w:val="restart"/>
            <w:tcBorders>
              <w:top w:val="single" w:color="000000" w:sz="4" w:space="0"/>
              <w:left w:val="single" w:color="000000" w:sz="4" w:space="0"/>
              <w:right w:val="single" w:color="000000" w:sz="4" w:space="0"/>
            </w:tcBorders>
            <w:noWrap w:val="0"/>
            <w:vAlign w:val="center"/>
          </w:tcPr>
          <w:p>
            <w:pPr>
              <w:autoSpaceDN w:val="0"/>
              <w:snapToGrid w:val="0"/>
              <w:spacing w:line="240" w:lineRule="exact"/>
              <w:jc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检查依据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85" w:hRule="atLeast"/>
        </w:trPr>
        <w:tc>
          <w:tcPr>
            <w:tcW w:w="66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黑体" w:hAnsi="黑体" w:eastAsia="黑体" w:cs="黑体"/>
                <w:b w:val="0"/>
                <w:bCs w:val="0"/>
                <w:color w:val="auto"/>
                <w:sz w:val="24"/>
                <w:szCs w:val="24"/>
              </w:rPr>
            </w:pP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抽查类别</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 xml:space="preserve">抽查事项县级以上市场监管部门 </w:t>
            </w: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黑体" w:hAnsi="黑体" w:eastAsia="黑体" w:cs="黑体"/>
                <w:b w:val="0"/>
                <w:bCs w:val="0"/>
                <w:color w:val="auto"/>
                <w:sz w:val="24"/>
                <w:szCs w:val="24"/>
              </w:rPr>
            </w:pP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黑体" w:hAnsi="黑体" w:eastAsia="黑体" w:cs="黑体"/>
                <w:b w:val="0"/>
                <w:bCs w:val="0"/>
                <w:color w:val="auto"/>
                <w:sz w:val="24"/>
                <w:szCs w:val="24"/>
              </w:rPr>
            </w:pPr>
          </w:p>
        </w:tc>
        <w:tc>
          <w:tcPr>
            <w:tcW w:w="133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黑体" w:hAnsi="黑体" w:eastAsia="黑体" w:cs="黑体"/>
                <w:b w:val="0"/>
                <w:bCs w:val="0"/>
                <w:color w:val="auto"/>
                <w:sz w:val="24"/>
                <w:szCs w:val="24"/>
              </w:rPr>
            </w:pPr>
          </w:p>
        </w:tc>
        <w:tc>
          <w:tcPr>
            <w:tcW w:w="12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黑体" w:hAnsi="黑体" w:eastAsia="黑体" w:cs="黑体"/>
                <w:b w:val="0"/>
                <w:bCs w:val="0"/>
                <w:color w:val="auto"/>
                <w:sz w:val="24"/>
                <w:szCs w:val="24"/>
              </w:rPr>
            </w:pPr>
          </w:p>
        </w:tc>
        <w:tc>
          <w:tcPr>
            <w:tcW w:w="5400" w:type="dxa"/>
            <w:vMerge w:val="continue"/>
            <w:tcBorders>
              <w:left w:val="single" w:color="000000" w:sz="4" w:space="0"/>
              <w:bottom w:val="single" w:color="000000" w:sz="4" w:space="0"/>
              <w:right w:val="single" w:color="000000" w:sz="4" w:space="0"/>
            </w:tcBorders>
            <w:noWrap w:val="0"/>
            <w:vAlign w:val="center"/>
          </w:tcPr>
          <w:p>
            <w:pPr>
              <w:rPr>
                <w:rFonts w:hint="eastAsia" w:ascii="黑体" w:hAnsi="黑体" w:eastAsia="黑体" w:cs="黑体"/>
                <w:b w:val="0"/>
                <w:bCs w:val="0"/>
                <w:color w:val="auto"/>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36"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1</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水路运输监督检查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rPr>
              <w:t>对水路运输企业</w:t>
            </w:r>
            <w:r>
              <w:rPr>
                <w:rFonts w:hint="eastAsia" w:ascii="仿宋_GB2312" w:hAnsi="仿宋_GB2312" w:eastAsia="仿宋_GB2312" w:cs="仿宋_GB2312"/>
                <w:b w:val="0"/>
                <w:bCs w:val="0"/>
                <w:color w:val="auto"/>
                <w:sz w:val="21"/>
                <w:szCs w:val="21"/>
                <w:vertAlign w:val="baseline"/>
                <w:lang w:eastAsia="zh-CN"/>
              </w:rPr>
              <w:t>经营</w:t>
            </w:r>
            <w:r>
              <w:rPr>
                <w:rFonts w:hint="eastAsia" w:ascii="仿宋_GB2312" w:hAnsi="仿宋_GB2312" w:eastAsia="仿宋_GB2312" w:cs="仿宋_GB2312"/>
                <w:b w:val="0"/>
                <w:bCs w:val="0"/>
                <w:color w:val="auto"/>
                <w:sz w:val="21"/>
                <w:szCs w:val="21"/>
                <w:vertAlign w:val="baseline"/>
              </w:rPr>
              <w:t>情况</w:t>
            </w:r>
            <w:r>
              <w:rPr>
                <w:rFonts w:hint="eastAsia" w:ascii="仿宋_GB2312" w:hAnsi="仿宋_GB2312" w:eastAsia="仿宋_GB2312" w:cs="仿宋_GB2312"/>
                <w:b w:val="0"/>
                <w:bCs w:val="0"/>
                <w:color w:val="auto"/>
                <w:sz w:val="21"/>
                <w:szCs w:val="21"/>
                <w:vertAlign w:val="baseline"/>
                <w:lang w:eastAsia="zh-CN"/>
              </w:rPr>
              <w:t>、经营行为和安全生产落实情况</w:t>
            </w:r>
            <w:r>
              <w:rPr>
                <w:rFonts w:hint="eastAsia" w:ascii="仿宋_GB2312" w:hAnsi="仿宋_GB2312" w:eastAsia="仿宋_GB2312" w:cs="仿宋_GB2312"/>
                <w:b w:val="0"/>
                <w:bCs w:val="0"/>
                <w:color w:val="auto"/>
                <w:sz w:val="21"/>
                <w:szCs w:val="21"/>
                <w:vertAlign w:val="baseline"/>
              </w:rPr>
              <w:t>的检查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获得经营许可的水路运输企业</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lang w:eastAsia="zh-CN"/>
              </w:rPr>
              <w:t>《</w:t>
            </w:r>
            <w:r>
              <w:rPr>
                <w:rFonts w:hint="eastAsia" w:ascii="仿宋_GB2312" w:hAnsi="仿宋_GB2312" w:eastAsia="仿宋_GB2312" w:cs="仿宋_GB2312"/>
                <w:b w:val="0"/>
                <w:bCs w:val="0"/>
                <w:color w:val="auto"/>
                <w:sz w:val="21"/>
                <w:szCs w:val="21"/>
              </w:rPr>
              <w:t>国内水路运输管理条例》</w:t>
            </w:r>
            <w:r>
              <w:rPr>
                <w:rFonts w:hint="eastAsia" w:ascii="仿宋_GB2312" w:hAnsi="仿宋_GB2312" w:eastAsia="仿宋_GB2312" w:cs="仿宋_GB2312"/>
                <w:b w:val="0"/>
                <w:bCs w:val="0"/>
                <w:color w:val="auto"/>
                <w:sz w:val="21"/>
                <w:szCs w:val="21"/>
                <w:lang w:val="en-US" w:eastAsia="zh-CN"/>
              </w:rPr>
              <w:t>第</w:t>
            </w:r>
            <w:r>
              <w:rPr>
                <w:rFonts w:hint="eastAsia" w:ascii="仿宋_GB2312" w:hAnsi="仿宋_GB2312" w:eastAsia="仿宋_GB2312" w:cs="仿宋_GB2312"/>
                <w:b w:val="0"/>
                <w:bCs w:val="0"/>
                <w:color w:val="auto"/>
                <w:sz w:val="21"/>
                <w:szCs w:val="21"/>
              </w:rPr>
              <w:t>四条</w:t>
            </w:r>
            <w:r>
              <w:rPr>
                <w:rFonts w:hint="eastAsia" w:ascii="仿宋_GB2312" w:hAnsi="仿宋_GB2312" w:eastAsia="仿宋_GB2312" w:cs="仿宋_GB2312"/>
                <w:b w:val="0"/>
                <w:bCs w:val="0"/>
                <w:color w:val="auto"/>
                <w:sz w:val="21"/>
                <w:szCs w:val="21"/>
                <w:lang w:eastAsia="zh-CN"/>
              </w:rPr>
              <w:t>、</w:t>
            </w:r>
            <w:r>
              <w:rPr>
                <w:rFonts w:hint="eastAsia" w:ascii="仿宋_GB2312" w:hAnsi="仿宋_GB2312" w:eastAsia="仿宋_GB2312" w:cs="仿宋_GB2312"/>
                <w:b w:val="0"/>
                <w:bCs w:val="0"/>
                <w:color w:val="auto"/>
                <w:sz w:val="21"/>
                <w:szCs w:val="21"/>
              </w:rPr>
              <w:t>第五条</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lang w:eastAsia="zh-CN"/>
              </w:rPr>
              <w:t>《</w:t>
            </w:r>
            <w:r>
              <w:rPr>
                <w:rFonts w:hint="eastAsia" w:ascii="仿宋_GB2312" w:hAnsi="仿宋_GB2312" w:eastAsia="仿宋_GB2312" w:cs="仿宋_GB2312"/>
                <w:b w:val="0"/>
                <w:bCs w:val="0"/>
                <w:color w:val="auto"/>
                <w:sz w:val="21"/>
                <w:szCs w:val="21"/>
              </w:rPr>
              <w:t>国内水路运输管理</w:t>
            </w:r>
            <w:r>
              <w:rPr>
                <w:rFonts w:hint="eastAsia" w:ascii="仿宋_GB2312" w:hAnsi="仿宋_GB2312" w:eastAsia="仿宋_GB2312" w:cs="仿宋_GB2312"/>
                <w:b w:val="0"/>
                <w:bCs w:val="0"/>
                <w:color w:val="auto"/>
                <w:sz w:val="21"/>
                <w:szCs w:val="21"/>
                <w:lang w:eastAsia="zh-CN"/>
              </w:rPr>
              <w:t>规定》第四十一条、四十二条、四十四条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5"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2</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公路水运工程监督检查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对公路、水运工程质量、建设项目建设管理、安全生产落实情况的检查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在建公路水运建设项目</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rPr>
              <w:t>《水运建设市场监督管理办法》(交通运输部令201</w:t>
            </w:r>
            <w:r>
              <w:rPr>
                <w:rFonts w:hint="eastAsia" w:ascii="仿宋_GB2312" w:hAnsi="仿宋_GB2312" w:eastAsia="仿宋_GB2312" w:cs="仿宋_GB2312"/>
                <w:b w:val="0"/>
                <w:bCs w:val="0"/>
                <w:color w:val="auto"/>
                <w:sz w:val="21"/>
                <w:szCs w:val="21"/>
                <w:lang w:val="en-US" w:eastAsia="zh-CN"/>
              </w:rPr>
              <w:t>6</w:t>
            </w:r>
            <w:r>
              <w:rPr>
                <w:rFonts w:hint="eastAsia" w:ascii="仿宋_GB2312" w:hAnsi="仿宋_GB2312" w:eastAsia="仿宋_GB2312" w:cs="仿宋_GB2312"/>
                <w:b w:val="0"/>
                <w:bCs w:val="0"/>
                <w:color w:val="auto"/>
                <w:sz w:val="21"/>
                <w:szCs w:val="21"/>
              </w:rPr>
              <w:t>年第</w:t>
            </w:r>
            <w:r>
              <w:rPr>
                <w:rFonts w:hint="eastAsia" w:ascii="仿宋_GB2312" w:hAnsi="仿宋_GB2312" w:eastAsia="仿宋_GB2312" w:cs="仿宋_GB2312"/>
                <w:b w:val="0"/>
                <w:bCs w:val="0"/>
                <w:color w:val="auto"/>
                <w:sz w:val="21"/>
                <w:szCs w:val="21"/>
                <w:lang w:val="en-US" w:eastAsia="zh-CN"/>
              </w:rPr>
              <w:t>74</w:t>
            </w:r>
            <w:r>
              <w:rPr>
                <w:rFonts w:hint="eastAsia" w:ascii="仿宋_GB2312" w:hAnsi="仿宋_GB2312" w:eastAsia="仿宋_GB2312" w:cs="仿宋_GB2312"/>
                <w:b w:val="0"/>
                <w:bCs w:val="0"/>
                <w:color w:val="auto"/>
                <w:sz w:val="21"/>
                <w:szCs w:val="21"/>
              </w:rPr>
              <w:t>号</w:t>
            </w:r>
            <w:r>
              <w:rPr>
                <w:rFonts w:hint="eastAsia" w:ascii="仿宋_GB2312" w:hAnsi="仿宋_GB2312" w:eastAsia="仿宋_GB2312" w:cs="仿宋_GB2312"/>
                <w:b w:val="0"/>
                <w:bCs w:val="0"/>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《中华人民共和国公路法》、</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rPr>
              <w:t>《公路水运工程安全生产监督管理办法》(交通运输部令2017年第25号</w:t>
            </w:r>
            <w:r>
              <w:rPr>
                <w:rFonts w:hint="eastAsia" w:ascii="仿宋_GB2312" w:hAnsi="仿宋_GB2312" w:eastAsia="仿宋_GB2312" w:cs="仿宋_GB2312"/>
                <w:b w:val="0"/>
                <w:bCs w:val="0"/>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《公路水运工程质量监督管理规定》(交通运输部令2017年第28号)</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《广东省公路建设建设市场督查工作规则》（粤交基〔2016〕698号）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0"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3</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道路旅客运输行业监督检查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对道路旅客运输站场经营者经营行为、道路旅客运输经营者经营情况、安全生产落实情况、经营行为和从业人员行为的行政检查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i w:val="0"/>
                <w:snapToGrid/>
                <w:color w:val="auto"/>
                <w:sz w:val="21"/>
                <w:szCs w:val="21"/>
                <w:u w:val="none"/>
                <w:lang w:eastAsia="zh-CN"/>
              </w:rPr>
              <w:t>道路旅客运输站场经营者、道路旅客运输经营者</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《中华人民共和国道路运输条例》(202</w:t>
            </w:r>
            <w:r>
              <w:rPr>
                <w:rFonts w:hint="eastAsia" w:ascii="仿宋_GB2312" w:hAnsi="仿宋_GB2312" w:eastAsia="仿宋_GB2312" w:cs="仿宋_GB2312"/>
                <w:b w:val="0"/>
                <w:bCs w:val="0"/>
                <w:color w:val="auto"/>
                <w:sz w:val="21"/>
                <w:szCs w:val="21"/>
                <w:lang w:val="en-US" w:eastAsia="zh-CN"/>
              </w:rPr>
              <w:t>3</w:t>
            </w:r>
            <w:r>
              <w:rPr>
                <w:rFonts w:hint="eastAsia" w:ascii="仿宋_GB2312" w:hAnsi="仿宋_GB2312" w:eastAsia="仿宋_GB2312" w:cs="仿宋_GB2312"/>
                <w:b w:val="0"/>
                <w:bCs w:val="0"/>
                <w:color w:val="auto"/>
                <w:sz w:val="21"/>
                <w:szCs w:val="21"/>
                <w:lang w:eastAsia="zh-CN"/>
              </w:rPr>
              <w:t>年</w:t>
            </w:r>
            <w:r>
              <w:rPr>
                <w:rFonts w:hint="eastAsia" w:ascii="仿宋_GB2312" w:hAnsi="仿宋_GB2312" w:eastAsia="仿宋_GB2312" w:cs="仿宋_GB2312"/>
                <w:b w:val="0"/>
                <w:bCs w:val="0"/>
                <w:color w:val="auto"/>
                <w:sz w:val="21"/>
                <w:szCs w:val="21"/>
                <w:lang w:val="en-US" w:eastAsia="zh-CN"/>
              </w:rPr>
              <w:t>7</w:t>
            </w:r>
            <w:r>
              <w:rPr>
                <w:rFonts w:hint="eastAsia" w:ascii="仿宋_GB2312" w:hAnsi="仿宋_GB2312" w:eastAsia="仿宋_GB2312" w:cs="仿宋_GB2312"/>
                <w:b w:val="0"/>
                <w:bCs w:val="0"/>
                <w:color w:val="auto"/>
                <w:sz w:val="21"/>
                <w:szCs w:val="21"/>
                <w:lang w:eastAsia="zh-CN"/>
              </w:rPr>
              <w:t>月</w:t>
            </w:r>
            <w:r>
              <w:rPr>
                <w:rFonts w:hint="eastAsia" w:ascii="仿宋_GB2312" w:hAnsi="仿宋_GB2312" w:eastAsia="仿宋_GB2312" w:cs="仿宋_GB2312"/>
                <w:b w:val="0"/>
                <w:bCs w:val="0"/>
                <w:color w:val="auto"/>
                <w:sz w:val="21"/>
                <w:szCs w:val="21"/>
                <w:lang w:val="en-US" w:eastAsia="zh-CN"/>
              </w:rPr>
              <w:t>20</w:t>
            </w:r>
            <w:r>
              <w:rPr>
                <w:rFonts w:hint="eastAsia" w:ascii="仿宋_GB2312" w:hAnsi="仿宋_GB2312" w:eastAsia="仿宋_GB2312" w:cs="仿宋_GB2312"/>
                <w:b w:val="0"/>
                <w:bCs w:val="0"/>
                <w:color w:val="auto"/>
                <w:sz w:val="21"/>
                <w:szCs w:val="21"/>
                <w:lang w:eastAsia="zh-CN"/>
              </w:rPr>
              <w:t>日修订)第二十八条、第四十条、第五十三条、第五十八条。</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lang w:eastAsia="zh-CN"/>
              </w:rPr>
              <w:t>《道路旅客运输及客运站管理规定》(202</w:t>
            </w:r>
            <w:r>
              <w:rPr>
                <w:rFonts w:hint="eastAsia" w:ascii="仿宋_GB2312" w:hAnsi="仿宋_GB2312" w:eastAsia="仿宋_GB2312" w:cs="仿宋_GB2312"/>
                <w:b w:val="0"/>
                <w:bCs w:val="0"/>
                <w:color w:val="auto"/>
                <w:sz w:val="21"/>
                <w:szCs w:val="21"/>
                <w:lang w:val="en-US" w:eastAsia="zh-CN"/>
              </w:rPr>
              <w:t>3</w:t>
            </w:r>
            <w:r>
              <w:rPr>
                <w:rFonts w:hint="eastAsia" w:ascii="仿宋_GB2312" w:hAnsi="仿宋_GB2312" w:eastAsia="仿宋_GB2312" w:cs="仿宋_GB2312"/>
                <w:b w:val="0"/>
                <w:bCs w:val="0"/>
                <w:color w:val="auto"/>
                <w:sz w:val="21"/>
                <w:szCs w:val="21"/>
                <w:lang w:eastAsia="zh-CN"/>
              </w:rPr>
              <w:t>年</w:t>
            </w:r>
            <w:r>
              <w:rPr>
                <w:rFonts w:hint="eastAsia" w:ascii="仿宋_GB2312" w:hAnsi="仿宋_GB2312" w:eastAsia="仿宋_GB2312" w:cs="仿宋_GB2312"/>
                <w:b w:val="0"/>
                <w:bCs w:val="0"/>
                <w:color w:val="auto"/>
                <w:sz w:val="21"/>
                <w:szCs w:val="21"/>
                <w:lang w:val="en-US" w:eastAsia="zh-CN"/>
              </w:rPr>
              <w:t>11</w:t>
            </w:r>
            <w:r>
              <w:rPr>
                <w:rFonts w:hint="eastAsia" w:ascii="仿宋_GB2312" w:hAnsi="仿宋_GB2312" w:eastAsia="仿宋_GB2312" w:cs="仿宋_GB2312"/>
                <w:b w:val="0"/>
                <w:bCs w:val="0"/>
                <w:color w:val="auto"/>
                <w:sz w:val="21"/>
                <w:szCs w:val="21"/>
                <w:lang w:eastAsia="zh-CN"/>
              </w:rPr>
              <w:t>月1</w:t>
            </w:r>
            <w:r>
              <w:rPr>
                <w:rFonts w:hint="eastAsia" w:ascii="仿宋_GB2312" w:hAnsi="仿宋_GB2312" w:eastAsia="仿宋_GB2312" w:cs="仿宋_GB2312"/>
                <w:b w:val="0"/>
                <w:bCs w:val="0"/>
                <w:color w:val="auto"/>
                <w:sz w:val="21"/>
                <w:szCs w:val="21"/>
                <w:lang w:val="en-US" w:eastAsia="zh-CN"/>
              </w:rPr>
              <w:t>0</w:t>
            </w:r>
            <w:r>
              <w:rPr>
                <w:rFonts w:hint="eastAsia" w:ascii="仿宋_GB2312" w:hAnsi="仿宋_GB2312" w:eastAsia="仿宋_GB2312" w:cs="仿宋_GB2312"/>
                <w:b w:val="0"/>
                <w:bCs w:val="0"/>
                <w:color w:val="auto"/>
                <w:sz w:val="21"/>
                <w:szCs w:val="21"/>
                <w:lang w:eastAsia="zh-CN"/>
              </w:rPr>
              <w:t>日实施)第八十二条、第八十四条。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30"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4</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道路货物运输行业监督检查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对从事货物道路运输企业经营情况、安全生产落实情况、经营行为和从业人员行为的行政检查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i w:val="0"/>
                <w:snapToGrid/>
                <w:color w:val="auto"/>
                <w:sz w:val="21"/>
                <w:szCs w:val="21"/>
                <w:u w:val="none"/>
                <w:lang w:eastAsia="zh-CN"/>
              </w:rPr>
              <w:t>道路货物运输经营者</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《中华人民共和国道路运输条例》(202</w:t>
            </w:r>
            <w:r>
              <w:rPr>
                <w:rFonts w:hint="eastAsia" w:ascii="仿宋_GB2312" w:hAnsi="仿宋_GB2312" w:eastAsia="仿宋_GB2312" w:cs="仿宋_GB2312"/>
                <w:b w:val="0"/>
                <w:bCs w:val="0"/>
                <w:color w:val="auto"/>
                <w:sz w:val="21"/>
                <w:szCs w:val="21"/>
                <w:lang w:val="en-US" w:eastAsia="zh-CN"/>
              </w:rPr>
              <w:t>3</w:t>
            </w:r>
            <w:r>
              <w:rPr>
                <w:rFonts w:hint="eastAsia" w:ascii="仿宋_GB2312" w:hAnsi="仿宋_GB2312" w:eastAsia="仿宋_GB2312" w:cs="仿宋_GB2312"/>
                <w:b w:val="0"/>
                <w:bCs w:val="0"/>
                <w:color w:val="auto"/>
                <w:sz w:val="21"/>
                <w:szCs w:val="21"/>
                <w:lang w:eastAsia="zh-CN"/>
              </w:rPr>
              <w:t>年</w:t>
            </w:r>
            <w:r>
              <w:rPr>
                <w:rFonts w:hint="eastAsia" w:ascii="仿宋_GB2312" w:hAnsi="仿宋_GB2312" w:eastAsia="仿宋_GB2312" w:cs="仿宋_GB2312"/>
                <w:b w:val="0"/>
                <w:bCs w:val="0"/>
                <w:color w:val="auto"/>
                <w:sz w:val="21"/>
                <w:szCs w:val="21"/>
                <w:lang w:val="en-US" w:eastAsia="zh-CN"/>
              </w:rPr>
              <w:t>7</w:t>
            </w:r>
            <w:r>
              <w:rPr>
                <w:rFonts w:hint="eastAsia" w:ascii="仿宋_GB2312" w:hAnsi="仿宋_GB2312" w:eastAsia="仿宋_GB2312" w:cs="仿宋_GB2312"/>
                <w:b w:val="0"/>
                <w:bCs w:val="0"/>
                <w:color w:val="auto"/>
                <w:sz w:val="21"/>
                <w:szCs w:val="21"/>
                <w:lang w:eastAsia="zh-CN"/>
              </w:rPr>
              <w:t>月</w:t>
            </w:r>
            <w:r>
              <w:rPr>
                <w:rFonts w:hint="eastAsia" w:ascii="仿宋_GB2312" w:hAnsi="仿宋_GB2312" w:eastAsia="仿宋_GB2312" w:cs="仿宋_GB2312"/>
                <w:b w:val="0"/>
                <w:bCs w:val="0"/>
                <w:color w:val="auto"/>
                <w:sz w:val="21"/>
                <w:szCs w:val="21"/>
                <w:lang w:val="en-US" w:eastAsia="zh-CN"/>
              </w:rPr>
              <w:t>20</w:t>
            </w:r>
            <w:r>
              <w:rPr>
                <w:rFonts w:hint="eastAsia" w:ascii="仿宋_GB2312" w:hAnsi="仿宋_GB2312" w:eastAsia="仿宋_GB2312" w:cs="仿宋_GB2312"/>
                <w:b w:val="0"/>
                <w:bCs w:val="0"/>
                <w:color w:val="auto"/>
                <w:sz w:val="21"/>
                <w:szCs w:val="21"/>
                <w:lang w:eastAsia="zh-CN"/>
              </w:rPr>
              <w:t>日修订)第二十八条、第四十条、第五十三条、第五十八条。</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lang w:eastAsia="zh-CN"/>
              </w:rPr>
              <w:t>《道路货物运输及站场管理规定》（</w:t>
            </w:r>
            <w:r>
              <w:rPr>
                <w:rFonts w:hint="eastAsia" w:ascii="仿宋_GB2312" w:hAnsi="仿宋_GB2312" w:eastAsia="仿宋_GB2312" w:cs="仿宋_GB2312"/>
                <w:b w:val="0"/>
                <w:bCs w:val="0"/>
                <w:color w:val="auto"/>
                <w:sz w:val="21"/>
                <w:szCs w:val="21"/>
                <w:lang w:val="en-US" w:eastAsia="zh-CN"/>
              </w:rPr>
              <w:t>2023年11月10日修订</w:t>
            </w:r>
            <w:r>
              <w:rPr>
                <w:rFonts w:hint="eastAsia" w:ascii="仿宋_GB2312" w:hAnsi="仿宋_GB2312" w:eastAsia="仿宋_GB2312" w:cs="仿宋_GB2312"/>
                <w:b w:val="0"/>
                <w:bCs w:val="0"/>
                <w:color w:val="auto"/>
                <w:sz w:val="21"/>
                <w:szCs w:val="21"/>
                <w:lang w:eastAsia="zh-CN"/>
              </w:rPr>
              <w:t>）第四十九条、第五十一条、第五十三条。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54"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5</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道路危险货物运输行业监督检查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对从事危险货物道路运输企业经营情况、安全生产落实情况、经营行为和从业人员行为的行政检查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i w:val="0"/>
                <w:snapToGrid/>
                <w:color w:val="auto"/>
                <w:sz w:val="21"/>
                <w:szCs w:val="21"/>
                <w:u w:val="none"/>
                <w:lang w:eastAsia="zh-CN"/>
              </w:rPr>
              <w:t>道路危险货物运输经营者</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《中华人民共和国道路运输条例》(202</w:t>
            </w:r>
            <w:r>
              <w:rPr>
                <w:rFonts w:hint="eastAsia" w:ascii="仿宋_GB2312" w:hAnsi="仿宋_GB2312" w:eastAsia="仿宋_GB2312" w:cs="仿宋_GB2312"/>
                <w:b w:val="0"/>
                <w:bCs w:val="0"/>
                <w:color w:val="auto"/>
                <w:sz w:val="21"/>
                <w:szCs w:val="21"/>
                <w:lang w:val="en-US" w:eastAsia="zh-CN"/>
              </w:rPr>
              <w:t>3</w:t>
            </w:r>
            <w:r>
              <w:rPr>
                <w:rFonts w:hint="eastAsia" w:ascii="仿宋_GB2312" w:hAnsi="仿宋_GB2312" w:eastAsia="仿宋_GB2312" w:cs="仿宋_GB2312"/>
                <w:b w:val="0"/>
                <w:bCs w:val="0"/>
                <w:color w:val="auto"/>
                <w:sz w:val="21"/>
                <w:szCs w:val="21"/>
                <w:lang w:eastAsia="zh-CN"/>
              </w:rPr>
              <w:t>年</w:t>
            </w:r>
            <w:r>
              <w:rPr>
                <w:rFonts w:hint="eastAsia" w:ascii="仿宋_GB2312" w:hAnsi="仿宋_GB2312" w:eastAsia="仿宋_GB2312" w:cs="仿宋_GB2312"/>
                <w:b w:val="0"/>
                <w:bCs w:val="0"/>
                <w:color w:val="auto"/>
                <w:sz w:val="21"/>
                <w:szCs w:val="21"/>
                <w:lang w:val="en-US" w:eastAsia="zh-CN"/>
              </w:rPr>
              <w:t>7</w:t>
            </w:r>
            <w:r>
              <w:rPr>
                <w:rFonts w:hint="eastAsia" w:ascii="仿宋_GB2312" w:hAnsi="仿宋_GB2312" w:eastAsia="仿宋_GB2312" w:cs="仿宋_GB2312"/>
                <w:b w:val="0"/>
                <w:bCs w:val="0"/>
                <w:color w:val="auto"/>
                <w:sz w:val="21"/>
                <w:szCs w:val="21"/>
                <w:lang w:eastAsia="zh-CN"/>
              </w:rPr>
              <w:t>月</w:t>
            </w:r>
            <w:r>
              <w:rPr>
                <w:rFonts w:hint="eastAsia" w:ascii="仿宋_GB2312" w:hAnsi="仿宋_GB2312" w:eastAsia="仿宋_GB2312" w:cs="仿宋_GB2312"/>
                <w:b w:val="0"/>
                <w:bCs w:val="0"/>
                <w:color w:val="auto"/>
                <w:sz w:val="21"/>
                <w:szCs w:val="21"/>
                <w:lang w:val="en-US" w:eastAsia="zh-CN"/>
              </w:rPr>
              <w:t>20</w:t>
            </w:r>
            <w:r>
              <w:rPr>
                <w:rFonts w:hint="eastAsia" w:ascii="仿宋_GB2312" w:hAnsi="仿宋_GB2312" w:eastAsia="仿宋_GB2312" w:cs="仿宋_GB2312"/>
                <w:b w:val="0"/>
                <w:bCs w:val="0"/>
                <w:color w:val="auto"/>
                <w:sz w:val="21"/>
                <w:szCs w:val="21"/>
                <w:lang w:eastAsia="zh-CN"/>
              </w:rPr>
              <w:t>日修订)第二十八条、第四十条、第五十三条、第五十八条。</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lang w:eastAsia="zh-CN"/>
              </w:rPr>
              <w:t>《道路危险货物运输管理规定》(20</w:t>
            </w:r>
            <w:r>
              <w:rPr>
                <w:rFonts w:hint="eastAsia" w:ascii="仿宋_GB2312" w:hAnsi="仿宋_GB2312" w:eastAsia="仿宋_GB2312" w:cs="仿宋_GB2312"/>
                <w:b w:val="0"/>
                <w:bCs w:val="0"/>
                <w:color w:val="auto"/>
                <w:sz w:val="21"/>
                <w:szCs w:val="21"/>
                <w:lang w:val="en-US" w:eastAsia="zh-CN"/>
              </w:rPr>
              <w:t>23</w:t>
            </w:r>
            <w:r>
              <w:rPr>
                <w:rFonts w:hint="eastAsia" w:ascii="仿宋_GB2312" w:hAnsi="仿宋_GB2312" w:eastAsia="仿宋_GB2312" w:cs="仿宋_GB2312"/>
                <w:b w:val="0"/>
                <w:bCs w:val="0"/>
                <w:color w:val="auto"/>
                <w:sz w:val="21"/>
                <w:szCs w:val="21"/>
                <w:lang w:eastAsia="zh-CN"/>
              </w:rPr>
              <w:t>年</w:t>
            </w:r>
            <w:r>
              <w:rPr>
                <w:rFonts w:hint="eastAsia" w:ascii="仿宋_GB2312" w:hAnsi="仿宋_GB2312" w:eastAsia="仿宋_GB2312" w:cs="仿宋_GB2312"/>
                <w:b w:val="0"/>
                <w:bCs w:val="0"/>
                <w:color w:val="auto"/>
                <w:sz w:val="21"/>
                <w:szCs w:val="21"/>
                <w:lang w:val="en-US" w:eastAsia="zh-CN"/>
              </w:rPr>
              <w:t>11月10日修订</w:t>
            </w:r>
            <w:r>
              <w:rPr>
                <w:rFonts w:hint="eastAsia" w:ascii="仿宋_GB2312" w:hAnsi="仿宋_GB2312" w:eastAsia="仿宋_GB2312" w:cs="仿宋_GB2312"/>
                <w:b w:val="0"/>
                <w:bCs w:val="0"/>
                <w:color w:val="auto"/>
                <w:sz w:val="21"/>
                <w:szCs w:val="21"/>
                <w:lang w:eastAsia="zh-CN"/>
              </w:rPr>
              <w:t>)第五十一条。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0"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6</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驾驶员培训行业监督检查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对机动车驾驶员培训机构经营情况、经营资质保持情况、经营行为的行政检查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i w:val="0"/>
                <w:snapToGrid/>
                <w:color w:val="auto"/>
                <w:sz w:val="21"/>
                <w:szCs w:val="21"/>
                <w:u w:val="none"/>
                <w:lang w:eastAsia="zh-CN"/>
              </w:rPr>
              <w:t>机动车驾驶员培训机构经营者</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lang w:eastAsia="zh-CN"/>
              </w:rPr>
              <w:t>《机动车驾驶员培训管理规定》第四十二条、第四十三条、第四十四条、第四十五条。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75"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7</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机动车维修行业监督检查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vertAlign w:val="baseline"/>
                <w:lang w:eastAsia="zh-CN"/>
              </w:rPr>
              <w:t>对机动车维修企业经营情况、经营行为的行政检查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i w:val="0"/>
                <w:snapToGrid/>
                <w:color w:val="auto"/>
                <w:sz w:val="21"/>
                <w:szCs w:val="21"/>
                <w:u w:val="none"/>
                <w:lang w:eastAsia="zh-CN"/>
              </w:rPr>
              <w:t>机动车维修企业经营者</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sz w:val="21"/>
                <w:szCs w:val="21"/>
                <w:lang w:eastAsia="zh-CN"/>
              </w:rPr>
              <w:t>《机动车维修管理规定》（</w:t>
            </w:r>
            <w:r>
              <w:rPr>
                <w:rFonts w:hint="eastAsia" w:ascii="仿宋_GB2312" w:hAnsi="仿宋_GB2312" w:eastAsia="仿宋_GB2312" w:cs="仿宋_GB2312"/>
                <w:b w:val="0"/>
                <w:bCs w:val="0"/>
                <w:color w:val="auto"/>
                <w:sz w:val="21"/>
                <w:szCs w:val="21"/>
                <w:lang w:val="en-US" w:eastAsia="zh-CN"/>
              </w:rPr>
              <w:t>2023年11月10日修订</w:t>
            </w:r>
            <w:r>
              <w:rPr>
                <w:rFonts w:hint="eastAsia" w:ascii="仿宋_GB2312" w:hAnsi="仿宋_GB2312" w:eastAsia="仿宋_GB2312" w:cs="仿宋_GB2312"/>
                <w:b w:val="0"/>
                <w:bCs w:val="0"/>
                <w:color w:val="auto"/>
                <w:sz w:val="21"/>
                <w:szCs w:val="21"/>
                <w:lang w:eastAsia="zh-CN"/>
              </w:rPr>
              <w:t>）第四十五条、第四十七条、第四十八条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5"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8</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i w:val="0"/>
                <w:snapToGrid/>
                <w:color w:val="auto"/>
                <w:sz w:val="21"/>
                <w:szCs w:val="21"/>
                <w:u w:val="none"/>
                <w:lang w:eastAsia="zh-CN"/>
              </w:rPr>
              <w:t>协议履行情况的行政检查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i w:val="0"/>
                <w:snapToGrid/>
                <w:color w:val="auto"/>
                <w:sz w:val="21"/>
                <w:szCs w:val="21"/>
                <w:u w:val="none"/>
                <w:lang w:eastAsia="zh-CN"/>
              </w:rPr>
              <w:t>对公共交通经营者、巡游出租汽车经营者履行经营协议情况的行政检查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i w:val="0"/>
                <w:snapToGrid/>
                <w:color w:val="auto"/>
                <w:sz w:val="21"/>
                <w:szCs w:val="21"/>
                <w:u w:val="none"/>
                <w:lang w:eastAsia="zh-CN"/>
              </w:rPr>
              <w:t>公共交通经营者、巡游出租汽车经营者、机动车检验检测机构经营者</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《城市公共汽车和电车客运管理规定》(交通运输部令2017年第</w:t>
            </w:r>
            <w:r>
              <w:rPr>
                <w:rFonts w:hint="eastAsia" w:ascii="仿宋_GB2312" w:hAnsi="仿宋_GB2312" w:eastAsia="仿宋_GB2312" w:cs="仿宋_GB2312"/>
                <w:b w:val="0"/>
                <w:bCs w:val="0"/>
                <w:color w:val="auto"/>
                <w:sz w:val="21"/>
                <w:szCs w:val="21"/>
                <w:lang w:val="en-US" w:eastAsia="zh-CN"/>
              </w:rPr>
              <w:t>5</w:t>
            </w:r>
            <w:r>
              <w:rPr>
                <w:rFonts w:hint="eastAsia" w:ascii="仿宋_GB2312" w:hAnsi="仿宋_GB2312" w:eastAsia="仿宋_GB2312" w:cs="仿宋_GB2312"/>
                <w:b w:val="0"/>
                <w:bCs w:val="0"/>
                <w:color w:val="auto"/>
                <w:sz w:val="21"/>
                <w:szCs w:val="21"/>
                <w:lang w:eastAsia="zh-CN"/>
              </w:rPr>
              <w:t>号)第三条、第五十五条、第五十六条、第五十七条</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《广东省出租汽车经营管理办法》(2017年省政府令第247号修订)第二十三条、第二十八条。</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《道路运输车辆技术管理规定》第二十三条、第二十六条、第二十八条</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lang w:eastAsia="zh-CN"/>
              </w:rPr>
              <w:t>《交通运输部办公厅关于优化道路运输车辆技术管理便于开展车辆技术等级评定工作的通知》（交办运〔20</w:t>
            </w:r>
            <w:r>
              <w:rPr>
                <w:rFonts w:hint="eastAsia" w:ascii="仿宋_GB2312" w:hAnsi="仿宋_GB2312" w:eastAsia="仿宋_GB2312" w:cs="仿宋_GB2312"/>
                <w:b w:val="0"/>
                <w:bCs w:val="0"/>
                <w:color w:val="auto"/>
                <w:sz w:val="21"/>
                <w:szCs w:val="21"/>
                <w:lang w:val="en-US" w:eastAsia="zh-CN"/>
              </w:rPr>
              <w:t>20</w:t>
            </w:r>
            <w:r>
              <w:rPr>
                <w:rFonts w:hint="eastAsia" w:ascii="仿宋_GB2312" w:hAnsi="仿宋_GB2312" w:eastAsia="仿宋_GB2312" w:cs="仿宋_GB2312"/>
                <w:b w:val="0"/>
                <w:bCs w:val="0"/>
                <w:color w:val="auto"/>
                <w:sz w:val="21"/>
                <w:szCs w:val="21"/>
                <w:lang w:eastAsia="zh-CN"/>
              </w:rPr>
              <w:t>〕</w:t>
            </w:r>
            <w:r>
              <w:rPr>
                <w:rFonts w:hint="eastAsia" w:ascii="仿宋_GB2312" w:hAnsi="仿宋_GB2312" w:eastAsia="仿宋_GB2312" w:cs="仿宋_GB2312"/>
                <w:b w:val="0"/>
                <w:bCs w:val="0"/>
                <w:color w:val="auto"/>
                <w:sz w:val="21"/>
                <w:szCs w:val="21"/>
                <w:lang w:val="en-US" w:eastAsia="zh-CN"/>
              </w:rPr>
              <w:t>67号</w:t>
            </w:r>
            <w:r>
              <w:rPr>
                <w:rFonts w:hint="eastAsia" w:ascii="仿宋_GB2312" w:hAnsi="仿宋_GB2312" w:eastAsia="仿宋_GB2312" w:cs="仿宋_GB2312"/>
                <w:b w:val="0"/>
                <w:bCs w:val="0"/>
                <w:color w:val="auto"/>
                <w:sz w:val="21"/>
                <w:szCs w:val="21"/>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5"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4"/>
                <w:szCs w:val="24"/>
                <w:lang w:val="en-US" w:eastAsia="zh-CN"/>
              </w:rPr>
              <w:t>9</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i w:val="0"/>
                <w:snapToGrid/>
                <w:color w:val="auto"/>
                <w:sz w:val="21"/>
                <w:szCs w:val="21"/>
                <w:u w:val="none"/>
                <w:lang w:eastAsia="zh-CN"/>
              </w:rPr>
              <w:t>小微型客车租赁行业监督检查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vertAlign w:val="baseline"/>
                <w:lang w:eastAsia="zh-CN"/>
              </w:rPr>
              <w:t>对小微型客车租赁企业经营资质保持情况和经营行为的行政检查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i w:val="0"/>
                <w:snapToGrid/>
                <w:color w:val="auto"/>
                <w:sz w:val="21"/>
                <w:szCs w:val="21"/>
                <w:u w:val="none"/>
                <w:lang w:eastAsia="zh-CN"/>
              </w:rPr>
              <w:t>小微型客车租赁经营者</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lang w:eastAsia="zh-CN"/>
              </w:rPr>
              <w:t>《小微型客车租赁经营服务管理办法》（</w:t>
            </w:r>
            <w:r>
              <w:rPr>
                <w:rFonts w:hint="eastAsia" w:ascii="仿宋_GB2312" w:hAnsi="仿宋_GB2312" w:eastAsia="仿宋_GB2312" w:cs="仿宋_GB2312"/>
                <w:b w:val="0"/>
                <w:bCs w:val="0"/>
                <w:color w:val="auto"/>
                <w:sz w:val="21"/>
                <w:szCs w:val="21"/>
                <w:lang w:val="en-US" w:eastAsia="zh-CN"/>
              </w:rPr>
              <w:t>2021年8月11日修订</w:t>
            </w:r>
            <w:r>
              <w:rPr>
                <w:rFonts w:hint="eastAsia" w:ascii="仿宋_GB2312" w:hAnsi="仿宋_GB2312" w:eastAsia="仿宋_GB2312" w:cs="仿宋_GB2312"/>
                <w:b w:val="0"/>
                <w:bCs w:val="0"/>
                <w:color w:val="auto"/>
                <w:sz w:val="21"/>
                <w:szCs w:val="21"/>
                <w:lang w:eastAsia="zh-CN"/>
              </w:rPr>
              <w:t>）第二十一条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5" w:hRule="atLeast"/>
        </w:trPr>
        <w:tc>
          <w:tcPr>
            <w:tcW w:w="664" w:type="dxa"/>
            <w:tcBorders>
              <w:top w:val="single" w:color="000000" w:sz="4" w:space="0"/>
              <w:left w:val="single" w:color="000000" w:sz="4" w:space="0"/>
              <w:bottom w:val="single" w:color="000000" w:sz="4" w:space="0"/>
              <w:right w:val="single" w:color="000000" w:sz="4" w:space="0"/>
            </w:tcBorders>
            <w:noWrap w:val="0"/>
            <w:vAlign w:val="center"/>
          </w:tcPr>
          <w:p>
            <w:pPr>
              <w:autoSpaceDN w:val="0"/>
              <w:snapToGrid w:val="0"/>
              <w:spacing w:line="240" w:lineRule="exact"/>
              <w:jc w:val="center"/>
              <w:textAlignment w:val="center"/>
              <w:rPr>
                <w:rFonts w:hint="eastAsia" w:ascii="仿宋_GB2312" w:hAnsi="仿宋_GB2312" w:eastAsia="仿宋_GB2312" w:cs="仿宋_GB2312"/>
                <w:b w:val="0"/>
                <w:bCs w:val="0"/>
                <w:color w:val="auto"/>
                <w:sz w:val="24"/>
                <w:szCs w:val="24"/>
                <w:lang w:val="en-US" w:eastAsia="zh-CN"/>
              </w:rPr>
            </w:pPr>
            <w:r>
              <w:rPr>
                <w:rFonts w:hint="eastAsia" w:ascii="仿宋_GB2312" w:hAnsi="仿宋_GB2312" w:eastAsia="仿宋_GB2312" w:cs="仿宋_GB2312"/>
                <w:b w:val="0"/>
                <w:bCs w:val="0"/>
                <w:color w:val="auto"/>
                <w:sz w:val="21"/>
                <w:szCs w:val="21"/>
                <w:lang w:val="en-US" w:eastAsia="zh-CN"/>
              </w:rPr>
              <w:t>10</w:t>
            </w:r>
          </w:p>
        </w:tc>
        <w:tc>
          <w:tcPr>
            <w:tcW w:w="1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i w:val="0"/>
                <w:snapToGrid/>
                <w:color w:val="auto"/>
                <w:sz w:val="21"/>
                <w:szCs w:val="21"/>
                <w:u w:val="none"/>
                <w:lang w:eastAsia="zh-CN"/>
              </w:rPr>
              <w:t>道路运输市场监督检查</w:t>
            </w:r>
          </w:p>
        </w:tc>
        <w:tc>
          <w:tcPr>
            <w:tcW w:w="24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vertAlign w:val="baseline"/>
                <w:lang w:eastAsia="zh-CN"/>
              </w:rPr>
              <w:t>对道路运输行业市场经营活动的行政检查</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i w:val="0"/>
                <w:snapToGrid/>
                <w:color w:val="auto"/>
                <w:sz w:val="21"/>
                <w:szCs w:val="21"/>
                <w:u w:val="none"/>
                <w:lang w:eastAsia="zh-CN"/>
              </w:rPr>
              <w:t>从事道路运输经营以及道路运输相关业务的企业</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一般检查事项</w:t>
            </w:r>
          </w:p>
        </w:tc>
        <w:tc>
          <w:tcPr>
            <w:tcW w:w="13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现场检查</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sz w:val="21"/>
                <w:szCs w:val="21"/>
              </w:rPr>
              <w:t>连州市交通运输局</w:t>
            </w:r>
          </w:p>
        </w:tc>
        <w:tc>
          <w:tcPr>
            <w:tcW w:w="54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_GB2312" w:hAnsi="仿宋_GB2312" w:eastAsia="仿宋_GB2312" w:cs="仿宋_GB2312"/>
                <w:b w:val="0"/>
                <w:bCs w:val="0"/>
                <w:color w:val="auto"/>
                <w:sz w:val="21"/>
                <w:szCs w:val="21"/>
                <w:lang w:eastAsia="zh-CN"/>
              </w:rPr>
            </w:pPr>
            <w:r>
              <w:rPr>
                <w:rFonts w:hint="eastAsia" w:ascii="仿宋_GB2312" w:hAnsi="仿宋_GB2312" w:eastAsia="仿宋_GB2312" w:cs="仿宋_GB2312"/>
                <w:b w:val="0"/>
                <w:bCs w:val="0"/>
                <w:color w:val="auto"/>
                <w:sz w:val="21"/>
                <w:szCs w:val="21"/>
                <w:lang w:eastAsia="zh-CN"/>
              </w:rPr>
              <w:t>《中华人民共和国道路运输条例》(202</w:t>
            </w:r>
            <w:r>
              <w:rPr>
                <w:rFonts w:hint="eastAsia" w:ascii="仿宋_GB2312" w:hAnsi="仿宋_GB2312" w:eastAsia="仿宋_GB2312" w:cs="仿宋_GB2312"/>
                <w:b w:val="0"/>
                <w:bCs w:val="0"/>
                <w:color w:val="auto"/>
                <w:sz w:val="21"/>
                <w:szCs w:val="21"/>
                <w:lang w:val="en-US" w:eastAsia="zh-CN"/>
              </w:rPr>
              <w:t>3</w:t>
            </w:r>
            <w:r>
              <w:rPr>
                <w:rFonts w:hint="eastAsia" w:ascii="仿宋_GB2312" w:hAnsi="仿宋_GB2312" w:eastAsia="仿宋_GB2312" w:cs="仿宋_GB2312"/>
                <w:b w:val="0"/>
                <w:bCs w:val="0"/>
                <w:color w:val="auto"/>
                <w:sz w:val="21"/>
                <w:szCs w:val="21"/>
                <w:lang w:eastAsia="zh-CN"/>
              </w:rPr>
              <w:t>年</w:t>
            </w:r>
            <w:r>
              <w:rPr>
                <w:rFonts w:hint="eastAsia" w:ascii="仿宋_GB2312" w:hAnsi="仿宋_GB2312" w:eastAsia="仿宋_GB2312" w:cs="仿宋_GB2312"/>
                <w:b w:val="0"/>
                <w:bCs w:val="0"/>
                <w:color w:val="auto"/>
                <w:sz w:val="21"/>
                <w:szCs w:val="21"/>
                <w:lang w:val="en-US" w:eastAsia="zh-CN"/>
              </w:rPr>
              <w:t>7</w:t>
            </w:r>
            <w:r>
              <w:rPr>
                <w:rFonts w:hint="eastAsia" w:ascii="仿宋_GB2312" w:hAnsi="仿宋_GB2312" w:eastAsia="仿宋_GB2312" w:cs="仿宋_GB2312"/>
                <w:b w:val="0"/>
                <w:bCs w:val="0"/>
                <w:color w:val="auto"/>
                <w:sz w:val="21"/>
                <w:szCs w:val="21"/>
                <w:lang w:eastAsia="zh-CN"/>
              </w:rPr>
              <w:t>月</w:t>
            </w:r>
            <w:r>
              <w:rPr>
                <w:rFonts w:hint="eastAsia" w:ascii="仿宋_GB2312" w:hAnsi="仿宋_GB2312" w:eastAsia="仿宋_GB2312" w:cs="仿宋_GB2312"/>
                <w:b w:val="0"/>
                <w:bCs w:val="0"/>
                <w:color w:val="auto"/>
                <w:sz w:val="21"/>
                <w:szCs w:val="21"/>
                <w:lang w:val="en-US" w:eastAsia="zh-CN"/>
              </w:rPr>
              <w:t>20</w:t>
            </w:r>
            <w:r>
              <w:rPr>
                <w:rFonts w:hint="eastAsia" w:ascii="仿宋_GB2312" w:hAnsi="仿宋_GB2312" w:eastAsia="仿宋_GB2312" w:cs="仿宋_GB2312"/>
                <w:b w:val="0"/>
                <w:bCs w:val="0"/>
                <w:color w:val="auto"/>
                <w:sz w:val="21"/>
                <w:szCs w:val="21"/>
                <w:lang w:eastAsia="zh-CN"/>
              </w:rPr>
              <w:t>日修订)第五十三条、第五十八条、第六十条。</w:t>
            </w:r>
          </w:p>
          <w:p>
            <w:pPr>
              <w:pStyle w:val="2"/>
              <w:ind w:left="0" w:leftChars="0" w:firstLine="0" w:firstLineChars="0"/>
              <w:rPr>
                <w:rFonts w:hint="eastAsia" w:ascii="仿宋_GB2312" w:hAnsi="仿宋_GB2312" w:eastAsia="仿宋_GB2312" w:cs="仿宋_GB2312"/>
                <w:b w:val="0"/>
                <w:bCs w:val="0"/>
                <w:color w:val="auto"/>
                <w:sz w:val="22"/>
                <w:szCs w:val="22"/>
              </w:rPr>
            </w:pPr>
            <w:r>
              <w:rPr>
                <w:rFonts w:hint="eastAsia" w:ascii="仿宋_GB2312" w:hAnsi="仿宋_GB2312" w:eastAsia="仿宋_GB2312" w:cs="仿宋_GB2312"/>
                <w:b w:val="0"/>
                <w:bCs w:val="0"/>
                <w:color w:val="auto"/>
                <w:kern w:val="2"/>
                <w:sz w:val="21"/>
                <w:szCs w:val="21"/>
                <w:lang w:val="en-US" w:eastAsia="zh-CN" w:bidi="ar-SA"/>
              </w:rPr>
              <w:t>《广东省道路运输条例》（2024年1月19日修订）第五十二条</w:t>
            </w:r>
          </w:p>
        </w:tc>
      </w:tr>
    </w:tbl>
    <w:p>
      <w:pPr>
        <w:spacing w:line="360" w:lineRule="exact"/>
        <w:rPr>
          <w:rFonts w:hint="eastAsia" w:ascii="仿宋_GB2312" w:hAnsi="仿宋_GB2312" w:eastAsia="仿宋_GB2312" w:cs="仿宋_GB2312"/>
          <w:color w:val="auto"/>
        </w:rPr>
      </w:pPr>
    </w:p>
    <w:p>
      <w:pPr>
        <w:pStyle w:val="2"/>
        <w:rPr>
          <w:rFonts w:hint="eastAsia" w:ascii="仿宋_GB2312" w:hAnsi="仿宋_GB2312" w:eastAsia="仿宋_GB2312" w:cs="仿宋_GB2312"/>
          <w:color w:val="auto"/>
        </w:rPr>
      </w:pPr>
    </w:p>
    <w:p>
      <w:pPr>
        <w:pStyle w:val="2"/>
        <w:rPr>
          <w:rFonts w:hint="eastAsia" w:ascii="仿宋_GB2312" w:hAnsi="仿宋_GB2312" w:eastAsia="仿宋_GB2312" w:cs="仿宋_GB2312"/>
          <w:color w:val="auto"/>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z w:val="44"/>
          <w:szCs w:val="44"/>
          <w:lang w:eastAsia="zh-CN"/>
        </w:rPr>
      </w:pPr>
    </w:p>
    <w:p>
      <w:pPr>
        <w:pStyle w:val="2"/>
        <w:rPr>
          <w:rFonts w:hint="eastAsia"/>
          <w:lang w:eastAsia="zh-CN"/>
        </w:rPr>
      </w:pPr>
    </w:p>
    <w:p>
      <w:pPr>
        <w:pStyle w:val="2"/>
        <w:rPr>
          <w:rFonts w:hint="eastAsia"/>
          <w:lang w:eastAsia="zh-CN"/>
        </w:rPr>
      </w:pPr>
    </w:p>
    <w:p>
      <w:pPr>
        <w:pStyle w:val="2"/>
        <w:rPr>
          <w:rFonts w:hint="eastAsia" w:ascii="方正小标宋_GBK" w:hAnsi="方正小标宋_GBK" w:eastAsia="方正小标宋_GBK" w:cs="方正小标宋_GBK"/>
          <w:b w:val="0"/>
          <w:bCs w:val="0"/>
          <w:color w:val="auto"/>
          <w:sz w:val="44"/>
          <w:szCs w:val="44"/>
          <w:lang w:eastAsia="zh-CN"/>
        </w:rPr>
      </w:pPr>
    </w:p>
    <w:tbl>
      <w:tblPr>
        <w:tblStyle w:val="9"/>
        <w:tblpPr w:leftFromText="180" w:rightFromText="180" w:vertAnchor="page" w:horzAnchor="page" w:tblpX="2172" w:tblpY="3329"/>
        <w:tblOverlap w:val="never"/>
        <w:tblW w:w="120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68"/>
        <w:gridCol w:w="3078"/>
        <w:gridCol w:w="2218"/>
        <w:gridCol w:w="1454"/>
        <w:gridCol w:w="32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98" w:hRule="atLeast"/>
        </w:trPr>
        <w:tc>
          <w:tcPr>
            <w:tcW w:w="19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抽查领域</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抽查事项</w:t>
            </w:r>
          </w:p>
        </w:tc>
        <w:tc>
          <w:tcPr>
            <w:tcW w:w="221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检查对象</w:t>
            </w:r>
          </w:p>
        </w:tc>
        <w:tc>
          <w:tcPr>
            <w:tcW w:w="14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发起部门</w:t>
            </w:r>
          </w:p>
        </w:tc>
        <w:tc>
          <w:tcPr>
            <w:tcW w:w="32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b/>
                <w:bCs/>
                <w:i w:val="0"/>
                <w:color w:val="000000"/>
                <w:kern w:val="0"/>
                <w:sz w:val="21"/>
                <w:szCs w:val="21"/>
                <w:u w:val="none"/>
                <w:lang w:val="en-US" w:eastAsia="zh-CN" w:bidi="ar"/>
              </w:rPr>
              <w:t>配合部门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82" w:hRule="atLeast"/>
        </w:trPr>
        <w:tc>
          <w:tcPr>
            <w:tcW w:w="196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交通运输行业监管</w:t>
            </w: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道路危险货物运输企业检查</w:t>
            </w:r>
          </w:p>
        </w:tc>
        <w:tc>
          <w:tcPr>
            <w:tcW w:w="221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道路危险货物运输企业</w:t>
            </w:r>
          </w:p>
        </w:tc>
        <w:tc>
          <w:tcPr>
            <w:tcW w:w="1454"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交通运输部门</w:t>
            </w:r>
          </w:p>
        </w:tc>
        <w:tc>
          <w:tcPr>
            <w:tcW w:w="32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应急管理、市场监管、税务部门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6" w:hRule="atLeast"/>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道路运输新业态企业检查</w:t>
            </w:r>
          </w:p>
        </w:tc>
        <w:tc>
          <w:tcPr>
            <w:tcW w:w="221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道路运输新业态经营企业</w:t>
            </w:r>
          </w:p>
        </w:tc>
        <w:tc>
          <w:tcPr>
            <w:tcW w:w="14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2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市场监管、税务部门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34" w:hRule="atLeast"/>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道路运输车辆达标管理情况检查</w:t>
            </w:r>
          </w:p>
        </w:tc>
        <w:tc>
          <w:tcPr>
            <w:tcW w:w="221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县级以上交通运输主管部门或受其委托的机动车检验检测机构机构</w:t>
            </w:r>
          </w:p>
        </w:tc>
        <w:tc>
          <w:tcPr>
            <w:tcW w:w="14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2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市场监管部门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2" w:hRule="atLeast"/>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交通运输产品质量监督检查</w:t>
            </w:r>
          </w:p>
        </w:tc>
        <w:tc>
          <w:tcPr>
            <w:tcW w:w="221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交通运输产品生产企业、经销企业和工程建设单位</w:t>
            </w:r>
          </w:p>
        </w:tc>
        <w:tc>
          <w:tcPr>
            <w:tcW w:w="14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2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6" w:hRule="atLeast"/>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机动车维修企业检查</w:t>
            </w:r>
          </w:p>
        </w:tc>
        <w:tc>
          <w:tcPr>
            <w:tcW w:w="221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机动车维修企业</w:t>
            </w:r>
          </w:p>
        </w:tc>
        <w:tc>
          <w:tcPr>
            <w:tcW w:w="14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2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生态环境、市场监督、公安部门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6" w:hRule="atLeast"/>
        </w:trPr>
        <w:tc>
          <w:tcPr>
            <w:tcW w:w="19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07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机动车驾驶员培训企业检查</w:t>
            </w:r>
          </w:p>
        </w:tc>
        <w:tc>
          <w:tcPr>
            <w:tcW w:w="221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机动车驾驶员培训企业</w:t>
            </w:r>
          </w:p>
        </w:tc>
        <w:tc>
          <w:tcPr>
            <w:tcW w:w="14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21"/>
                <w:szCs w:val="21"/>
                <w:u w:val="none"/>
              </w:rPr>
            </w:pPr>
          </w:p>
        </w:tc>
        <w:tc>
          <w:tcPr>
            <w:tcW w:w="32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公安部门</w:t>
            </w:r>
          </w:p>
        </w:tc>
      </w:tr>
    </w:tbl>
    <w:p>
      <w:pPr>
        <w:pStyle w:val="8"/>
        <w:ind w:firstLine="2641" w:firstLineChars="600"/>
        <w:jc w:val="both"/>
        <w:rPr>
          <w:rFonts w:hint="eastAsia" w:eastAsia="方正小标宋_GBK"/>
          <w:color w:val="auto"/>
          <w:lang w:eastAsia="zh-CN"/>
        </w:rPr>
      </w:pPr>
      <w:r>
        <w:rPr>
          <w:rFonts w:hint="eastAsia" w:ascii="方正小标宋_GBK" w:hAnsi="方正小标宋_GBK" w:eastAsia="方正小标宋_GBK" w:cs="方正小标宋_GBK"/>
          <w:color w:val="auto"/>
          <w:lang w:eastAsia="zh-CN"/>
        </w:rPr>
        <w:t>连州</w:t>
      </w:r>
      <w:r>
        <w:rPr>
          <w:rFonts w:hint="eastAsia" w:ascii="方正小标宋_GBK" w:hAnsi="方正小标宋_GBK" w:eastAsia="方正小标宋_GBK" w:cs="方正小标宋_GBK"/>
          <w:color w:val="auto"/>
        </w:rPr>
        <w:t>市</w:t>
      </w:r>
      <w:r>
        <w:rPr>
          <w:rFonts w:hint="eastAsia" w:ascii="方正小标宋_GBK" w:hAnsi="方正小标宋_GBK" w:eastAsia="方正小标宋_GBK" w:cs="方正小标宋_GBK"/>
          <w:color w:val="auto"/>
          <w:lang w:eastAsia="zh-CN"/>
        </w:rPr>
        <w:t>交通运输</w:t>
      </w:r>
      <w:r>
        <w:rPr>
          <w:rFonts w:hint="eastAsia" w:ascii="方正小标宋_GBK" w:hAnsi="方正小标宋_GBK" w:eastAsia="方正小标宋_GBK" w:cs="方正小标宋_GBK"/>
          <w:color w:val="auto"/>
        </w:rPr>
        <w:t>局随机抽查事项清单</w:t>
      </w:r>
      <w:r>
        <w:rPr>
          <w:rFonts w:hint="eastAsia" w:ascii="方正小标宋_GBK" w:hAnsi="方正小标宋_GBK" w:eastAsia="方正小标宋_GBK" w:cs="方正小标宋_GBK"/>
          <w:color w:val="auto"/>
          <w:lang w:eastAsia="zh-CN"/>
        </w:rPr>
        <w:t>（跨部门）</w:t>
      </w:r>
    </w:p>
    <w:p>
      <w:pPr>
        <w:pStyle w:val="2"/>
        <w:ind w:left="0" w:leftChars="0" w:firstLine="0" w:firstLineChars="0"/>
        <w:rPr>
          <w:rFonts w:hint="eastAsia" w:ascii="方正小标宋_GBK" w:hAnsi="方正小标宋_GBK" w:eastAsia="方正小标宋_GBK" w:cs="方正小标宋_GBK"/>
          <w:b w:val="0"/>
          <w:bCs w:val="0"/>
          <w:color w:val="auto"/>
          <w:sz w:val="44"/>
          <w:szCs w:val="44"/>
          <w:lang w:eastAsia="zh-CN"/>
        </w:rPr>
      </w:pPr>
    </w:p>
    <w:p>
      <w:pPr>
        <w:rPr>
          <w:rFonts w:hint="eastAsia" w:ascii="仿宋_GB2312" w:hAnsi="仿宋_GB2312" w:eastAsia="仿宋_GB2312" w:cs="仿宋_GB2312"/>
          <w:color w:val="auto"/>
          <w:sz w:val="21"/>
          <w:szCs w:val="21"/>
        </w:rPr>
      </w:pPr>
    </w:p>
    <w:p>
      <w:pPr>
        <w:rPr>
          <w:rFonts w:hint="eastAsia" w:ascii="仿宋_GB2312" w:hAnsi="仿宋_GB2312" w:eastAsia="仿宋_GB2312" w:cs="仿宋_GB2312"/>
          <w:color w:val="auto"/>
          <w:sz w:val="21"/>
          <w:szCs w:val="21"/>
        </w:rPr>
      </w:pPr>
    </w:p>
    <w:sectPr>
      <w:footerReference r:id="rId3" w:type="default"/>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_GBK">
    <w:altName w:val="微软雅黑"/>
    <w:panose1 w:val="03000502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755A3"/>
    <w:rsid w:val="00A80380"/>
    <w:rsid w:val="023E3BE9"/>
    <w:rsid w:val="031F1C3F"/>
    <w:rsid w:val="037A2A4F"/>
    <w:rsid w:val="041476CE"/>
    <w:rsid w:val="04BB0FCE"/>
    <w:rsid w:val="05B960AC"/>
    <w:rsid w:val="0600269F"/>
    <w:rsid w:val="060579C5"/>
    <w:rsid w:val="068A6572"/>
    <w:rsid w:val="06C9203E"/>
    <w:rsid w:val="06E6135D"/>
    <w:rsid w:val="071B4AA8"/>
    <w:rsid w:val="077602DC"/>
    <w:rsid w:val="08B6589C"/>
    <w:rsid w:val="08F10AB5"/>
    <w:rsid w:val="091B5440"/>
    <w:rsid w:val="09DD7DE8"/>
    <w:rsid w:val="0A0020A7"/>
    <w:rsid w:val="0A010D97"/>
    <w:rsid w:val="0A086A17"/>
    <w:rsid w:val="0A473CF9"/>
    <w:rsid w:val="0A6628EE"/>
    <w:rsid w:val="0AAF0995"/>
    <w:rsid w:val="0AB85F91"/>
    <w:rsid w:val="0ACD1542"/>
    <w:rsid w:val="0AD82A82"/>
    <w:rsid w:val="0CFC0186"/>
    <w:rsid w:val="0D3E7BC8"/>
    <w:rsid w:val="0D9415B4"/>
    <w:rsid w:val="0DD30EBF"/>
    <w:rsid w:val="0E000364"/>
    <w:rsid w:val="0E670717"/>
    <w:rsid w:val="0E6C00F4"/>
    <w:rsid w:val="0E9758D7"/>
    <w:rsid w:val="0EC85119"/>
    <w:rsid w:val="0FC07F75"/>
    <w:rsid w:val="0FEA397A"/>
    <w:rsid w:val="10FE6D91"/>
    <w:rsid w:val="113277B8"/>
    <w:rsid w:val="11546C70"/>
    <w:rsid w:val="123F4031"/>
    <w:rsid w:val="12AF2AFB"/>
    <w:rsid w:val="12D247DF"/>
    <w:rsid w:val="12F12E80"/>
    <w:rsid w:val="13BF74E4"/>
    <w:rsid w:val="140636F7"/>
    <w:rsid w:val="154B3827"/>
    <w:rsid w:val="156A1034"/>
    <w:rsid w:val="158F4FE1"/>
    <w:rsid w:val="15DC12D3"/>
    <w:rsid w:val="15E05535"/>
    <w:rsid w:val="16B9002D"/>
    <w:rsid w:val="16FA239B"/>
    <w:rsid w:val="181206F9"/>
    <w:rsid w:val="18422245"/>
    <w:rsid w:val="1856093A"/>
    <w:rsid w:val="186D0D13"/>
    <w:rsid w:val="187B3F71"/>
    <w:rsid w:val="1908636D"/>
    <w:rsid w:val="19C8042B"/>
    <w:rsid w:val="1A3C1738"/>
    <w:rsid w:val="1B19240B"/>
    <w:rsid w:val="1B895E35"/>
    <w:rsid w:val="1B8B41C6"/>
    <w:rsid w:val="1BD466B6"/>
    <w:rsid w:val="1C3E05D7"/>
    <w:rsid w:val="1C7A1EBD"/>
    <w:rsid w:val="1D9936AC"/>
    <w:rsid w:val="1D9D5F68"/>
    <w:rsid w:val="1FF73550"/>
    <w:rsid w:val="20021CB9"/>
    <w:rsid w:val="203C3B13"/>
    <w:rsid w:val="208F1A90"/>
    <w:rsid w:val="21232735"/>
    <w:rsid w:val="2230584F"/>
    <w:rsid w:val="224832C5"/>
    <w:rsid w:val="226B5FC4"/>
    <w:rsid w:val="23DD0FF0"/>
    <w:rsid w:val="23FB0F68"/>
    <w:rsid w:val="24731FAF"/>
    <w:rsid w:val="250F2D26"/>
    <w:rsid w:val="252C1F28"/>
    <w:rsid w:val="25307709"/>
    <w:rsid w:val="25913BE7"/>
    <w:rsid w:val="261C18C7"/>
    <w:rsid w:val="263F3AC3"/>
    <w:rsid w:val="26420720"/>
    <w:rsid w:val="26652ABA"/>
    <w:rsid w:val="26B002F6"/>
    <w:rsid w:val="27191430"/>
    <w:rsid w:val="275D1581"/>
    <w:rsid w:val="27F72465"/>
    <w:rsid w:val="28951FFA"/>
    <w:rsid w:val="28B6153A"/>
    <w:rsid w:val="28FA77FC"/>
    <w:rsid w:val="29E43F5B"/>
    <w:rsid w:val="29F029D6"/>
    <w:rsid w:val="2A880D68"/>
    <w:rsid w:val="2AC015A8"/>
    <w:rsid w:val="2AED67CF"/>
    <w:rsid w:val="2B1B0F4D"/>
    <w:rsid w:val="2B212C73"/>
    <w:rsid w:val="2B2926A2"/>
    <w:rsid w:val="2B4825F1"/>
    <w:rsid w:val="2C0B1E64"/>
    <w:rsid w:val="2C915C30"/>
    <w:rsid w:val="2CA04202"/>
    <w:rsid w:val="2CD83090"/>
    <w:rsid w:val="2D5E2E61"/>
    <w:rsid w:val="2D7A3A09"/>
    <w:rsid w:val="2E3268F9"/>
    <w:rsid w:val="2E7C268D"/>
    <w:rsid w:val="2FB11B2B"/>
    <w:rsid w:val="2FB301DB"/>
    <w:rsid w:val="2FB55FCB"/>
    <w:rsid w:val="300C6BFF"/>
    <w:rsid w:val="305F6831"/>
    <w:rsid w:val="31E741C8"/>
    <w:rsid w:val="31F01586"/>
    <w:rsid w:val="324A1EB9"/>
    <w:rsid w:val="329F5807"/>
    <w:rsid w:val="33D51677"/>
    <w:rsid w:val="33F43F07"/>
    <w:rsid w:val="34A82EDF"/>
    <w:rsid w:val="34C05301"/>
    <w:rsid w:val="34F56054"/>
    <w:rsid w:val="352C5123"/>
    <w:rsid w:val="3565664C"/>
    <w:rsid w:val="35BB5F0A"/>
    <w:rsid w:val="36843660"/>
    <w:rsid w:val="36A974F6"/>
    <w:rsid w:val="372D3251"/>
    <w:rsid w:val="394237FC"/>
    <w:rsid w:val="3A3C1193"/>
    <w:rsid w:val="3AE31059"/>
    <w:rsid w:val="3BAF2E2E"/>
    <w:rsid w:val="3BB25AEB"/>
    <w:rsid w:val="3C8D7CD9"/>
    <w:rsid w:val="3C9931E3"/>
    <w:rsid w:val="3CE4103D"/>
    <w:rsid w:val="3D425D1A"/>
    <w:rsid w:val="3D753FAF"/>
    <w:rsid w:val="3E7323FD"/>
    <w:rsid w:val="3E7D54AE"/>
    <w:rsid w:val="3EF24C12"/>
    <w:rsid w:val="3FE635BB"/>
    <w:rsid w:val="3FE762E5"/>
    <w:rsid w:val="4090046B"/>
    <w:rsid w:val="41A516AD"/>
    <w:rsid w:val="421E558D"/>
    <w:rsid w:val="43EB3245"/>
    <w:rsid w:val="441031AF"/>
    <w:rsid w:val="44AC1313"/>
    <w:rsid w:val="452E0106"/>
    <w:rsid w:val="454F7D54"/>
    <w:rsid w:val="4558691E"/>
    <w:rsid w:val="45671347"/>
    <w:rsid w:val="459C220E"/>
    <w:rsid w:val="45F871E9"/>
    <w:rsid w:val="46242A0C"/>
    <w:rsid w:val="46426F86"/>
    <w:rsid w:val="4674403A"/>
    <w:rsid w:val="46A456E0"/>
    <w:rsid w:val="47575DF5"/>
    <w:rsid w:val="477905D5"/>
    <w:rsid w:val="47951DDE"/>
    <w:rsid w:val="47D11732"/>
    <w:rsid w:val="47F16ED2"/>
    <w:rsid w:val="486777EC"/>
    <w:rsid w:val="49984547"/>
    <w:rsid w:val="4B7206E6"/>
    <w:rsid w:val="4B7219DB"/>
    <w:rsid w:val="4C5A7137"/>
    <w:rsid w:val="4D7D646F"/>
    <w:rsid w:val="4E145C68"/>
    <w:rsid w:val="4E283A87"/>
    <w:rsid w:val="4E4D741E"/>
    <w:rsid w:val="4EA85234"/>
    <w:rsid w:val="4F882480"/>
    <w:rsid w:val="4FB103AA"/>
    <w:rsid w:val="4FBD79F7"/>
    <w:rsid w:val="4FDE1645"/>
    <w:rsid w:val="4FF32E4E"/>
    <w:rsid w:val="508A5DAB"/>
    <w:rsid w:val="51D76840"/>
    <w:rsid w:val="51EB10C1"/>
    <w:rsid w:val="520725B2"/>
    <w:rsid w:val="526B7FED"/>
    <w:rsid w:val="5273259A"/>
    <w:rsid w:val="52734BE8"/>
    <w:rsid w:val="52C07CAF"/>
    <w:rsid w:val="5304274E"/>
    <w:rsid w:val="53B2068E"/>
    <w:rsid w:val="53B26538"/>
    <w:rsid w:val="53EA7506"/>
    <w:rsid w:val="53F22DE0"/>
    <w:rsid w:val="540420D9"/>
    <w:rsid w:val="55E0474F"/>
    <w:rsid w:val="57006DCB"/>
    <w:rsid w:val="57565CD3"/>
    <w:rsid w:val="57863BBD"/>
    <w:rsid w:val="579D0C6F"/>
    <w:rsid w:val="57DC12E2"/>
    <w:rsid w:val="5884617B"/>
    <w:rsid w:val="59631B82"/>
    <w:rsid w:val="59DD6AFF"/>
    <w:rsid w:val="5B157896"/>
    <w:rsid w:val="5B821025"/>
    <w:rsid w:val="5B9B3AD4"/>
    <w:rsid w:val="5B9C376C"/>
    <w:rsid w:val="5C6F079D"/>
    <w:rsid w:val="5C7F5B99"/>
    <w:rsid w:val="5D4C5184"/>
    <w:rsid w:val="5DC37ACF"/>
    <w:rsid w:val="5E0D5E35"/>
    <w:rsid w:val="5E215CF1"/>
    <w:rsid w:val="5F9B128A"/>
    <w:rsid w:val="618064CD"/>
    <w:rsid w:val="626E2016"/>
    <w:rsid w:val="629D2F16"/>
    <w:rsid w:val="62EC52AC"/>
    <w:rsid w:val="63267F71"/>
    <w:rsid w:val="634503AC"/>
    <w:rsid w:val="635633AF"/>
    <w:rsid w:val="635E0374"/>
    <w:rsid w:val="6373088C"/>
    <w:rsid w:val="63CB3F4B"/>
    <w:rsid w:val="63FF7ABA"/>
    <w:rsid w:val="6442630C"/>
    <w:rsid w:val="648055B1"/>
    <w:rsid w:val="64A12723"/>
    <w:rsid w:val="64DA7D99"/>
    <w:rsid w:val="64F53D33"/>
    <w:rsid w:val="65730761"/>
    <w:rsid w:val="65C74333"/>
    <w:rsid w:val="66510216"/>
    <w:rsid w:val="667F27C2"/>
    <w:rsid w:val="66CE5E35"/>
    <w:rsid w:val="66F72F72"/>
    <w:rsid w:val="672D3C6E"/>
    <w:rsid w:val="67436603"/>
    <w:rsid w:val="675E3D59"/>
    <w:rsid w:val="680C47EE"/>
    <w:rsid w:val="681E7BE2"/>
    <w:rsid w:val="69417DD9"/>
    <w:rsid w:val="6984164D"/>
    <w:rsid w:val="69D579FD"/>
    <w:rsid w:val="6A0E2C1F"/>
    <w:rsid w:val="6A5C2914"/>
    <w:rsid w:val="6ACB2746"/>
    <w:rsid w:val="6AF42CE9"/>
    <w:rsid w:val="6B22259F"/>
    <w:rsid w:val="6B8B61B2"/>
    <w:rsid w:val="6CCB6F47"/>
    <w:rsid w:val="6D373F6C"/>
    <w:rsid w:val="6D7B2D06"/>
    <w:rsid w:val="6E37003F"/>
    <w:rsid w:val="6E3744DB"/>
    <w:rsid w:val="6EB34C9B"/>
    <w:rsid w:val="6EF840F3"/>
    <w:rsid w:val="6F9A4A6D"/>
    <w:rsid w:val="6FD6653C"/>
    <w:rsid w:val="7049578B"/>
    <w:rsid w:val="708F351C"/>
    <w:rsid w:val="70944D23"/>
    <w:rsid w:val="71A87886"/>
    <w:rsid w:val="720D5220"/>
    <w:rsid w:val="73060CFD"/>
    <w:rsid w:val="737C7D10"/>
    <w:rsid w:val="73B07DB5"/>
    <w:rsid w:val="73B404AD"/>
    <w:rsid w:val="73B47A3C"/>
    <w:rsid w:val="741C177D"/>
    <w:rsid w:val="74B15517"/>
    <w:rsid w:val="74BF08B1"/>
    <w:rsid w:val="74CB55FF"/>
    <w:rsid w:val="74E81CFD"/>
    <w:rsid w:val="75A8069E"/>
    <w:rsid w:val="75CF1ACE"/>
    <w:rsid w:val="75F94C29"/>
    <w:rsid w:val="762A375B"/>
    <w:rsid w:val="7649212A"/>
    <w:rsid w:val="76A14BB4"/>
    <w:rsid w:val="76D467F0"/>
    <w:rsid w:val="76F032BB"/>
    <w:rsid w:val="778C4A37"/>
    <w:rsid w:val="78203CA6"/>
    <w:rsid w:val="78B86012"/>
    <w:rsid w:val="7A1B1F6B"/>
    <w:rsid w:val="7A486F40"/>
    <w:rsid w:val="7AAA301B"/>
    <w:rsid w:val="7AC92F1C"/>
    <w:rsid w:val="7B3E4D04"/>
    <w:rsid w:val="7BE054BD"/>
    <w:rsid w:val="7C3D1C30"/>
    <w:rsid w:val="7C5B63DC"/>
    <w:rsid w:val="7C850665"/>
    <w:rsid w:val="7CF84B71"/>
    <w:rsid w:val="7CFB585F"/>
    <w:rsid w:val="7DB7569D"/>
    <w:rsid w:val="7E085AE0"/>
    <w:rsid w:val="7E213A6D"/>
    <w:rsid w:val="7E3F4FAE"/>
    <w:rsid w:val="7E7C60BF"/>
    <w:rsid w:val="7E9A1E08"/>
    <w:rsid w:val="7F440936"/>
    <w:rsid w:val="7F445236"/>
    <w:rsid w:val="7F493D51"/>
    <w:rsid w:val="7F4B35F4"/>
    <w:rsid w:val="7F6B2EB6"/>
    <w:rsid w:val="7FAF5E6F"/>
    <w:rsid w:val="7FF25E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9"/>
    <w:pPr>
      <w:keepNext/>
      <w:keepLines/>
      <w:spacing w:before="340" w:beforeLines="0" w:after="330" w:afterLines="0" w:line="578" w:lineRule="auto"/>
      <w:outlineLvl w:val="0"/>
    </w:pPr>
    <w:rPr>
      <w:rFonts w:cs="Times New Roman"/>
      <w:b/>
      <w:bCs/>
      <w:kern w:val="44"/>
      <w:sz w:val="44"/>
      <w:szCs w:val="44"/>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ind w:left="420" w:leftChars="200"/>
    </w:pPr>
  </w:style>
  <w:style w:type="paragraph" w:styleId="5">
    <w:name w:val="footer"/>
    <w:basedOn w:val="1"/>
    <w:unhideWhenUsed/>
    <w:qFormat/>
    <w:uiPriority w:val="0"/>
    <w:pPr>
      <w:tabs>
        <w:tab w:val="center" w:pos="4153"/>
        <w:tab w:val="right" w:pos="8306"/>
      </w:tabs>
      <w:snapToGrid w:val="0"/>
      <w:jc w:val="left"/>
    </w:pPr>
    <w:rPr>
      <w:rFonts w:cs="Times New Roman"/>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unhideWhenUsed/>
    <w:qFormat/>
    <w:uiPriority w:val="39"/>
    <w:pPr>
      <w:spacing w:before="120" w:beforeLines="0" w:after="120" w:afterLines="0"/>
      <w:jc w:val="left"/>
    </w:pPr>
    <w:rPr>
      <w:rFonts w:cs="Calibri"/>
      <w:b/>
      <w:bCs/>
      <w:caps/>
      <w:sz w:val="20"/>
      <w:szCs w:val="20"/>
    </w:rPr>
  </w:style>
  <w:style w:type="paragraph" w:styleId="8">
    <w:name w:val="Title"/>
    <w:basedOn w:val="1"/>
    <w:next w:val="1"/>
    <w:qFormat/>
    <w:uiPriority w:val="10"/>
    <w:pPr>
      <w:spacing w:before="240" w:beforeLines="0" w:after="60" w:afterLines="0"/>
      <w:jc w:val="center"/>
      <w:outlineLvl w:val="0"/>
    </w:pPr>
    <w:rPr>
      <w:rFonts w:ascii="Cambria" w:hAnsi="Cambria" w:eastAsia="黑体"/>
      <w:b/>
      <w:bCs/>
      <w:kern w:val="2"/>
      <w:sz w:val="44"/>
      <w:szCs w:val="32"/>
    </w:rPr>
  </w:style>
  <w:style w:type="table" w:styleId="10">
    <w:name w:val="Table Grid"/>
    <w:basedOn w:val="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Hyperlink"/>
    <w:unhideWhenUsed/>
    <w:qFormat/>
    <w:uiPriority w:val="99"/>
    <w:rPr>
      <w:rFonts w:ascii="Times New Roman" w:hAnsi="Times New Roman" w:eastAsia="仿宋_GB2312" w:cs="Times New Roman"/>
      <w:color w:val="000000" w:themeColor="text1"/>
      <w:sz w:val="32"/>
      <w:u w:val="none"/>
      <w14:textFill>
        <w14:solidFill>
          <w14:schemeClr w14:val="tx1"/>
        </w14:solidFill>
      </w14:textFill>
    </w:rPr>
  </w:style>
  <w:style w:type="paragraph" w:customStyle="1" w:styleId="13">
    <w:name w:val="样式2"/>
    <w:basedOn w:val="1"/>
    <w:qFormat/>
    <w:uiPriority w:val="0"/>
    <w:pPr>
      <w:tabs>
        <w:tab w:val="right" w:leader="dot" w:pos="9060"/>
      </w:tabs>
      <w:spacing w:before="120" w:beforeLines="0" w:after="120" w:afterLines="0"/>
      <w:jc w:val="left"/>
    </w:pPr>
    <w:rPr>
      <w:rFonts w:hint="eastAsia" w:eastAsia="仿宋_GB2312" w:cs="Calibri"/>
      <w:bCs/>
      <w:caps/>
      <w:sz w:val="32"/>
      <w:szCs w:val="20"/>
    </w:rPr>
  </w:style>
  <w:style w:type="paragraph" w:customStyle="1" w:styleId="14">
    <w:name w:val="TOC Heading"/>
    <w:basedOn w:val="4"/>
    <w:next w:val="1"/>
    <w:qFormat/>
    <w:uiPriority w:val="0"/>
    <w:pPr>
      <w:widowControl/>
      <w:spacing w:before="240" w:beforeLines="0" w:after="0" w:afterLines="0" w:line="259" w:lineRule="auto"/>
      <w:jc w:val="left"/>
      <w:outlineLvl w:val="9"/>
    </w:pPr>
    <w:rPr>
      <w:rFonts w:ascii="Calibri Light" w:hAnsi="Calibri Light" w:cs="黑体"/>
      <w:b w:val="0"/>
      <w:bCs w:val="0"/>
      <w:color w:val="2D73B3"/>
      <w:kern w:val="0"/>
      <w:sz w:val="32"/>
      <w:szCs w:val="32"/>
    </w:rPr>
  </w:style>
  <w:style w:type="paragraph" w:customStyle="1" w:styleId="15">
    <w:name w:val="正文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6">
    <w:name w:val="正文 New New New New New New New New"/>
    <w:qFormat/>
    <w:uiPriority w:val="0"/>
    <w:pPr>
      <w:widowControl w:val="0"/>
      <w:jc w:val="both"/>
    </w:pPr>
    <w:rPr>
      <w:rFonts w:ascii="Times New Roman" w:hAnsi="Times New Roman" w:eastAsia="宋体" w:cs="Times New Roman"/>
      <w:kern w:val="2"/>
      <w:sz w:val="21"/>
      <w:szCs w:val="22"/>
      <w:lang w:val="en-US" w:eastAsia="zh-CN"/>
    </w:rPr>
  </w:style>
  <w:style w:type="paragraph" w:customStyle="1" w:styleId="17">
    <w:name w:val="正文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
    <w:name w:val="正文 New New New New New"/>
    <w:qFormat/>
    <w:uiPriority w:val="0"/>
    <w:pPr>
      <w:widowControl w:val="0"/>
      <w:jc w:val="both"/>
    </w:pPr>
    <w:rPr>
      <w:rFonts w:ascii="Times New Roman" w:hAnsi="Times New Roman" w:eastAsia="宋体" w:cs="Times New Roman"/>
      <w:kern w:val="2"/>
      <w:sz w:val="21"/>
      <w:szCs w:val="22"/>
      <w:lang w:val="en-US" w:eastAsia="zh-CN"/>
    </w:rPr>
  </w:style>
  <w:style w:type="paragraph" w:customStyle="1" w:styleId="19">
    <w:name w:val="样式1"/>
    <w:basedOn w:val="1"/>
    <w:qFormat/>
    <w:uiPriority w:val="0"/>
    <w:pPr>
      <w:tabs>
        <w:tab w:val="right" w:leader="dot" w:pos="9060"/>
      </w:tabs>
      <w:spacing w:before="120" w:beforeLines="0" w:after="120" w:afterLines="0"/>
      <w:jc w:val="left"/>
    </w:pPr>
    <w:rPr>
      <w:rFonts w:hint="eastAsia" w:eastAsia="仿宋_GB2312" w:cs="Calibri"/>
      <w:b/>
      <w:bCs/>
      <w:caps/>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2022-07-19T07:12:00Z</dcterms:created>
  <dc:creator>陈晓莹</dc:creator>
  <cp:lastModifiedBy>nice881</cp:lastModifiedBy>
  <cp:lastPrinted>2022-09-13T07:31:00Z</cp:lastPrinted>
  <dcterms:modified xsi:type="dcterms:W3CDTF">2025-02-13T07:03:01Z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