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455" w:tblpY="616"/>
        <w:tblOverlap w:val="never"/>
        <w:tblW w:w="1118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5"/>
        <w:gridCol w:w="1200"/>
        <w:gridCol w:w="555"/>
        <w:gridCol w:w="1095"/>
        <w:gridCol w:w="1065"/>
        <w:gridCol w:w="554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textAlignment w:val="bottom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textAlignment w:val="bottom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职称要求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textAlignment w:val="bottom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textAlignment w:val="bottom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学历(全日制)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textAlignment w:val="bottom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专业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textAlignment w:val="bottom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bidi="ar"/>
              </w:rPr>
              <w:t>其它要求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妇产科医生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副主任医师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主治医师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二甲及以上医院专科工作经验5年以上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泌尿外科医生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主治医师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二甲及以上医院专科工作经验5年以上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脊柱关节外科医生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普外科医生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副主任医师及以上职称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肝胆或胃肠、胸外科专科工作经验10年以上，能独立完成Ⅱ类及Ⅲ类手术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神经内科医生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消化内科医生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心血管内科医生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主治医师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二甲及以上医院专科工作经验5年以上，有心脏介入治疗经验者优先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重症医学科医生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综合内科医生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二甲及以上医院相关工作经验3年以上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肾内科医生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新生儿科医生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主治医师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40周岁以下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儿科门急诊医生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年龄在35周岁以下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眼科医生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主治医师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在三级甲等医院进修半年以上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感染科医生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医师、主治医师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临床药师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临床药学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有临床药师工作经验者优先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康复科治疗师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康复治疗学、康复治疗技术</w:t>
            </w: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  <w:t>年龄在28周岁（含）以下，取得康复治疗师资格证者优先，二甲或以上综合医院相关工作经验3年以上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合计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>21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83" w:right="1800" w:bottom="306" w:left="1800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C67F2"/>
    <w:rsid w:val="08EA2D04"/>
    <w:rsid w:val="74FC67F2"/>
    <w:rsid w:val="7EE0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仿宋_GB2312" w:cs="Times New Roman"/>
      <w:color w:val="000000"/>
      <w:sz w:val="32"/>
      <w:szCs w:val="32"/>
      <w:u w:val="none" w:color="00000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2018-12-04T03:26:00Z</dcterms:created>
  <dc:creator>Administrator</dc:creator>
  <cp:lastModifiedBy>Administrator</cp:lastModifiedBy>
  <dcterms:modified xsi:type="dcterms:W3CDTF">2018-12-04T07:16:36Z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